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color w:val="auto"/>
          <w:sz w:val="36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36"/>
          <w:szCs w:val="44"/>
          <w:lang w:val="en-US" w:eastAsia="zh-CN"/>
        </w:rPr>
        <w:t>NE-300Z超声波处理器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color w:val="auto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32"/>
          <w:lang w:val="en-US" w:eastAsia="zh-CN"/>
        </w:rPr>
        <w:drawing>
          <wp:inline distT="0" distB="0" distL="114300" distR="114300">
            <wp:extent cx="5257800" cy="3042920"/>
            <wp:effectExtent l="0" t="0" r="0" b="4445"/>
            <wp:docPr id="1" name="图片 1" descr="一体机图片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一体机图片1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04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32"/>
          <w:lang w:val="en-US" w:eastAsia="zh-CN"/>
        </w:rPr>
        <w:t>产品应用：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超声波处理器，又别名：超声波细胞粉碎机、萃取仪、分散仪、均质机、乳化机；是实验室样品前处理的常用设备之一；广泛应用于：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污水处理（降解COD）               环境科学（土壤有机物的萃取）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制药（中草药和植物萃取）            生命科学（细胞破壁萃取和粉碎）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复合材料制备（纳米材料分散）        均质混匀（加速溶解、化学反应合成、油水乳化）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32"/>
          <w:lang w:val="en-US" w:eastAsia="zh-CN"/>
        </w:rPr>
        <w:t>产品特点：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■ 一体式设计，外观简洁大方，且占地空间小。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■ 85～260V宽电压输入工作，满足各国实验室标准。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■ 10组用户选择以及储存，可实时调出程序组运行。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■ 运行模式设定有三种：连续使用、脉冲、定时连续超声，满足多种材料处理。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■ 操作界面采用7寸彩色工业触摸屏。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■ 自带超声输出运行显示灯光，可实时观察超声对样品的处理效果。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■ 运行界面集成显示，可直接查看超声每种参数。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■ 三维指数型变幅杆设计，超声变幅杆使用寿命，效率更高。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■ 可选自动升降、紫外灭菌灯。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■ 系列产品具有CE/ISO等产品认证及知识产权保护。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32"/>
          <w:lang w:val="en-US" w:eastAsia="zh-CN"/>
        </w:rPr>
        <w:t>技术参数：</w:t>
      </w:r>
      <w:r>
        <w:rPr>
          <w:rFonts w:hint="eastAsia" w:ascii="微软雅黑" w:hAnsi="微软雅黑" w:eastAsia="微软雅黑" w:cs="微软雅黑"/>
          <w:color w:val="auto"/>
          <w:sz w:val="22"/>
          <w:szCs w:val="22"/>
          <w:shd w:val="clear" w:color="auto" w:fill="FFFFFF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color w:val="auto"/>
          <w:sz w:val="22"/>
          <w:szCs w:val="22"/>
          <w:shd w:val="clear" w:color="auto" w:fill="FFFFFF"/>
          <w:lang w:val="en-US" w:eastAsia="zh-CN"/>
        </w:rPr>
        <w:t>超声波主机参数</w:t>
      </w:r>
    </w:p>
    <w:tbl>
      <w:tblPr>
        <w:tblStyle w:val="4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95"/>
        <w:gridCol w:w="49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型号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  <w:t>NE-300Z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电源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85-260V/50-60Hz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净功率输出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300W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标称频率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19-26KHz（实时显示频率）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定时器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1Min～99H可设定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功率调节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1％—100％,1％递进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温度设定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0—300℃，1℃递进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用户使用程序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10组（可设定，可储存，工作状态可实时查看）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  <w:t>脉冲间隔时间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1S～60Min可设定，可储存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运行模式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  <w:t xml:space="preserve">Pulse、Time、Continuous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液晶显示屏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  <w:t>彩色触摸屏，分辨率：800×480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操作语言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  <w:t>英文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主界面显示参数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  <w:t>超声输出功率、频率、工作模式、用户组、设定键、设备运行状态、启动/关闭、设备运行参数详情键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可查看运行界面显示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总运行时间、工作时间、停止时间、用户组、过载温度、功率输出比、工作模式、程序保存键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显示灯光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自带超声输出运行显示灯光，可随时观察超声输出状态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外形尺寸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340mm×270mm×479mm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b/>
          <w:bCs/>
          <w:color w:val="auto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lang w:val="en-US" w:eastAsia="zh-CN"/>
        </w:rPr>
        <w:t>超声波探头参数</w:t>
      </w:r>
    </w:p>
    <w:tbl>
      <w:tblPr>
        <w:tblStyle w:val="4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71"/>
        <w:gridCol w:w="12"/>
        <w:gridCol w:w="49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标准配置变幅杆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钛合金材料：T1—6AL—4V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头部直径（随机变幅杆）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default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3mm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处理量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default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0.1—300ml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default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电缆线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default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150cm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可选配件超声波变幅杆</w:t>
            </w:r>
          </w:p>
        </w:tc>
        <w:tc>
          <w:tcPr>
            <w:tcW w:w="4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Φ1.5，Φ2，Φ6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b/>
          <w:bCs/>
          <w:color w:val="auto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lang w:val="en-US" w:eastAsia="zh-CN"/>
        </w:rPr>
        <w:t>标准配置装箱：</w:t>
      </w:r>
    </w:p>
    <w:tbl>
      <w:tblPr>
        <w:tblStyle w:val="4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83"/>
        <w:gridCol w:w="49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超声波主机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超声波探头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升降台，防滑垫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温度传感器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电源线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  <w:t>电缆线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  <w:t>保险丝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  <w:t>3支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重量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11千克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color w:val="auto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lang w:val="en-US" w:eastAsia="zh-CN"/>
        </w:rPr>
        <w:t>界面显示如下</w:t>
      </w:r>
    </w:p>
    <w:p>
      <w:pPr>
        <w:widowControl w:val="0"/>
        <w:numPr>
          <w:ilvl w:val="0"/>
          <w:numId w:val="0"/>
        </w:numPr>
        <w:jc w:val="center"/>
        <w:rPr>
          <w:rFonts w:hint="default" w:ascii="微软雅黑" w:hAnsi="微软雅黑" w:eastAsia="微软雅黑" w:cs="微软雅黑"/>
          <w:color w:val="auto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lang w:val="en-US" w:eastAsia="zh-CN"/>
        </w:rPr>
        <w:drawing>
          <wp:inline distT="0" distB="0" distL="114300" distR="114300">
            <wp:extent cx="3009900" cy="1805940"/>
            <wp:effectExtent l="0" t="0" r="0" b="3810"/>
            <wp:docPr id="2" name="图片 9" descr="面板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9" descr="面板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center"/>
        <w:rPr>
          <w:rFonts w:hint="default" w:ascii="微软雅黑" w:hAnsi="微软雅黑" w:eastAsia="微软雅黑" w:cs="微软雅黑"/>
          <w:color w:val="auto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lang w:val="en-US" w:eastAsia="zh-CN"/>
        </w:rPr>
        <w:drawing>
          <wp:inline distT="0" distB="0" distL="114300" distR="114300">
            <wp:extent cx="3065780" cy="1839595"/>
            <wp:effectExtent l="0" t="0" r="1270" b="8255"/>
            <wp:docPr id="3" name="图片 3" descr="面板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面板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5780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default" w:ascii="微软雅黑" w:hAnsi="微软雅黑" w:eastAsia="微软雅黑" w:cs="微软雅黑"/>
          <w:color w:val="auto"/>
          <w:lang w:val="en-US" w:eastAsia="zh-CN"/>
        </w:rPr>
        <w:drawing>
          <wp:inline distT="0" distB="0" distL="114300" distR="114300">
            <wp:extent cx="3051810" cy="1831340"/>
            <wp:effectExtent l="0" t="0" r="15240" b="16510"/>
            <wp:docPr id="4" name="图片 5" descr="面板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面板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51810" cy="183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微软雅黑" w:hAnsi="微软雅黑" w:eastAsia="微软雅黑" w:cs="微软雅黑"/>
          <w:color w:val="auto"/>
          <w:lang w:val="en-US" w:eastAsia="zh-CN"/>
        </w:rPr>
        <w:drawing>
          <wp:inline distT="0" distB="0" distL="114300" distR="114300">
            <wp:extent cx="3042920" cy="1708150"/>
            <wp:effectExtent l="0" t="0" r="5080" b="6350"/>
            <wp:docPr id="5" name="图片 1" descr="5b161d7627d7359dda4c8c973a83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5b161d7627d7359dda4c8c973a83882"/>
                    <pic:cNvPicPr>
                      <a:picLocks noChangeAspect="1"/>
                    </pic:cNvPicPr>
                  </pic:nvPicPr>
                  <pic:blipFill>
                    <a:blip r:embed="rId9"/>
                    <a:srcRect l="6396" t="11070" r="6335" b="12500"/>
                    <a:stretch>
                      <a:fillRect/>
                    </a:stretch>
                  </pic:blipFill>
                  <pic:spPr>
                    <a:xfrm>
                      <a:off x="0" y="0"/>
                      <a:ext cx="304292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pgSz w:w="11906" w:h="16838"/>
      <w:pgMar w:top="1440" w:right="1800" w:bottom="1440" w:left="1800" w:header="1191" w:footer="85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E669E2"/>
    <w:rsid w:val="04EA59E3"/>
    <w:rsid w:val="0FF86F76"/>
    <w:rsid w:val="163F042D"/>
    <w:rsid w:val="16ED2B9C"/>
    <w:rsid w:val="1EE669E2"/>
    <w:rsid w:val="25CF650A"/>
    <w:rsid w:val="2B2817AC"/>
    <w:rsid w:val="2F295AC9"/>
    <w:rsid w:val="38FD2A5A"/>
    <w:rsid w:val="3F752691"/>
    <w:rsid w:val="451122F1"/>
    <w:rsid w:val="50DB6C04"/>
    <w:rsid w:val="55E77CB4"/>
    <w:rsid w:val="59ED0204"/>
    <w:rsid w:val="64FD4DE4"/>
    <w:rsid w:val="6739448E"/>
    <w:rsid w:val="6C23360F"/>
    <w:rsid w:val="70D54A36"/>
    <w:rsid w:val="73A46099"/>
    <w:rsid w:val="74070042"/>
    <w:rsid w:val="766F1D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2020-08-07T05:37:00Z</dcterms:created>
  <dc:creator>方需科技</dc:creator>
  <cp:lastModifiedBy>方需科技</cp:lastModifiedBy>
  <dcterms:modified xsi:type="dcterms:W3CDTF">2020-11-04T07:47:13Z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